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sz w:val="34"/>
          <w:szCs w:val="34"/>
        </w:rPr>
      </w:pPr>
      <w:bookmarkStart w:id="1" w:name="_GoBack"/>
      <w:bookmarkEnd w:id="1"/>
      <w:r>
        <w:rPr>
          <w:rFonts w:ascii="Times New Roman" w:hAnsi="Times New Roman" w:eastAsia="黑体" w:cs="Times New Roman"/>
          <w:sz w:val="34"/>
          <w:szCs w:val="34"/>
        </w:rPr>
        <w:t>附件2</w:t>
      </w:r>
    </w:p>
    <w:p>
      <w:pPr>
        <w:spacing w:before="312" w:beforeLines="100" w:after="156" w:afterLines="50" w:line="560" w:lineRule="exact"/>
        <w:ind w:left="-420" w:leftChars="-200" w:right="-420" w:right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教育类研究生免试认定初级中学、高级中学、中等职业学校教师资格</w:t>
      </w:r>
    </w:p>
    <w:p>
      <w:pPr>
        <w:spacing w:before="156" w:beforeLines="50" w:after="312" w:afterLines="100" w:line="560" w:lineRule="exact"/>
        <w:ind w:left="-420" w:leftChars="-200" w:right="-420" w:right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对应任教学科（试行）</w:t>
      </w:r>
    </w:p>
    <w:tbl>
      <w:tblPr>
        <w:tblStyle w:val="4"/>
        <w:tblW w:w="12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4"/>
        <w:gridCol w:w="3019"/>
        <w:gridCol w:w="1984"/>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napToGrid w:val="0"/>
              <w:spacing w:line="36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学位类型</w:t>
            </w:r>
          </w:p>
        </w:tc>
        <w:tc>
          <w:tcPr>
            <w:tcW w:w="1984" w:type="dxa"/>
            <w:vAlign w:val="center"/>
          </w:tcPr>
          <w:p>
            <w:pPr>
              <w:snapToGrid w:val="0"/>
              <w:spacing w:line="36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一级学科</w:t>
            </w:r>
          </w:p>
        </w:tc>
        <w:tc>
          <w:tcPr>
            <w:tcW w:w="3019" w:type="dxa"/>
            <w:vAlign w:val="center"/>
          </w:tcPr>
          <w:p>
            <w:pPr>
              <w:snapToGrid w:val="0"/>
              <w:spacing w:line="32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二级学科</w:t>
            </w:r>
          </w:p>
          <w:p>
            <w:pPr>
              <w:snapToGrid w:val="0"/>
              <w:spacing w:line="32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（专业</w:t>
            </w:r>
            <w:r>
              <w:rPr>
                <w:rFonts w:hint="eastAsia" w:ascii="Times New Roman" w:hAnsi="Times New Roman" w:eastAsia="宋体" w:cs="Times New Roman"/>
                <w:b/>
                <w:bCs/>
                <w:kern w:val="0"/>
                <w:sz w:val="20"/>
              </w:rPr>
              <w:t>领域</w:t>
            </w:r>
            <w:r>
              <w:rPr>
                <w:rFonts w:ascii="Times New Roman" w:hAnsi="Times New Roman" w:eastAsia="宋体" w:cs="Times New Roman"/>
                <w:b/>
                <w:bCs/>
                <w:kern w:val="0"/>
                <w:sz w:val="20"/>
              </w:rPr>
              <w:t>）</w:t>
            </w:r>
          </w:p>
        </w:tc>
        <w:tc>
          <w:tcPr>
            <w:tcW w:w="1984" w:type="dxa"/>
            <w:vAlign w:val="center"/>
          </w:tcPr>
          <w:p>
            <w:pPr>
              <w:snapToGrid w:val="0"/>
              <w:spacing w:line="360" w:lineRule="exact"/>
              <w:jc w:val="center"/>
              <w:rPr>
                <w:rFonts w:ascii="Times New Roman" w:hAnsi="Times New Roman" w:eastAsia="宋体" w:cs="Times New Roman"/>
                <w:b/>
                <w:bCs/>
                <w:kern w:val="0"/>
                <w:sz w:val="20"/>
              </w:rPr>
            </w:pPr>
            <w:r>
              <w:rPr>
                <w:rFonts w:hint="eastAsia" w:ascii="Times New Roman" w:hAnsi="Times New Roman" w:eastAsia="宋体" w:cs="Times New Roman"/>
                <w:b/>
                <w:bCs/>
                <w:kern w:val="0"/>
                <w:sz w:val="20"/>
              </w:rPr>
              <w:t>培养目标</w:t>
            </w:r>
          </w:p>
        </w:tc>
        <w:tc>
          <w:tcPr>
            <w:tcW w:w="1984" w:type="dxa"/>
            <w:vAlign w:val="center"/>
          </w:tcPr>
          <w:p>
            <w:pPr>
              <w:snapToGrid w:val="0"/>
              <w:spacing w:line="36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任教学段</w:t>
            </w:r>
          </w:p>
        </w:tc>
        <w:tc>
          <w:tcPr>
            <w:tcW w:w="2835" w:type="dxa"/>
            <w:vAlign w:val="center"/>
          </w:tcPr>
          <w:p>
            <w:pPr>
              <w:snapToGrid w:val="0"/>
              <w:spacing w:line="360" w:lineRule="exact"/>
              <w:jc w:val="center"/>
              <w:rPr>
                <w:rFonts w:ascii="Times New Roman" w:hAnsi="Times New Roman" w:eastAsia="宋体" w:cs="Times New Roman"/>
                <w:b/>
                <w:bCs/>
                <w:kern w:val="0"/>
                <w:sz w:val="20"/>
              </w:rPr>
            </w:pPr>
            <w:r>
              <w:rPr>
                <w:rFonts w:hint="eastAsia" w:ascii="Times New Roman" w:hAnsi="Times New Roman" w:eastAsia="宋体" w:cs="Times New Roman"/>
                <w:b/>
                <w:bCs/>
                <w:kern w:val="0"/>
                <w:sz w:val="20"/>
              </w:rPr>
              <w:t>建议</w:t>
            </w:r>
            <w:r>
              <w:rPr>
                <w:rFonts w:ascii="Times New Roman" w:hAnsi="Times New Roman" w:eastAsia="宋体" w:cs="Times New Roman"/>
                <w:b/>
                <w:bCs/>
                <w:kern w:val="0"/>
                <w:sz w:val="20"/>
              </w:rPr>
              <w:t>任教</w:t>
            </w:r>
            <w:r>
              <w:rPr>
                <w:rFonts w:hint="eastAsia" w:ascii="Times New Roman" w:hAnsi="Times New Roman" w:eastAsia="宋体" w:cs="Times New Roman"/>
                <w:b/>
                <w:bCs/>
                <w:kern w:val="0"/>
                <w:sz w:val="20"/>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34" w:type="dxa"/>
            <w:vMerge w:val="restart"/>
            <w:vAlign w:val="center"/>
          </w:tcPr>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术</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w:t>
            </w:r>
          </w:p>
          <w:p>
            <w:pPr>
              <w:spacing w:line="300" w:lineRule="exact"/>
              <w:jc w:val="center"/>
              <w:rPr>
                <w:rFonts w:ascii="Times New Roman" w:hAnsi="Times New Roman" w:eastAsia="宋体" w:cs="Times New Roman"/>
                <w:kern w:val="0"/>
                <w:sz w:val="20"/>
              </w:rPr>
            </w:pPr>
            <w:r>
              <w:rPr>
                <w:rFonts w:ascii="Times New Roman" w:hAnsi="Times New Roman" w:eastAsia="宋体" w:cs="Times New Roman"/>
                <w:kern w:val="0"/>
                <w:sz w:val="20"/>
                <w:szCs w:val="21"/>
              </w:rPr>
              <w:t>位</w:t>
            </w:r>
          </w:p>
        </w:tc>
        <w:tc>
          <w:tcPr>
            <w:tcW w:w="1984" w:type="dxa"/>
            <w:vMerge w:val="restart"/>
            <w:vAlign w:val="center"/>
          </w:tcPr>
          <w:p>
            <w:pPr>
              <w:spacing w:line="300" w:lineRule="exact"/>
              <w:jc w:val="left"/>
              <w:rPr>
                <w:rFonts w:ascii="Times New Roman" w:hAnsi="Times New Roman" w:eastAsia="宋体" w:cs="Times New Roman"/>
                <w:kern w:val="0"/>
                <w:sz w:val="20"/>
              </w:rPr>
            </w:pPr>
            <w:r>
              <w:rPr>
                <w:rFonts w:ascii="Times New Roman" w:hAnsi="Times New Roman" w:eastAsia="宋体" w:cs="Times New Roman"/>
                <w:kern w:val="0"/>
                <w:sz w:val="20"/>
                <w:szCs w:val="21"/>
              </w:rPr>
              <w:t>0401教育学</w:t>
            </w:r>
          </w:p>
        </w:tc>
        <w:tc>
          <w:tcPr>
            <w:tcW w:w="3019" w:type="dxa"/>
            <w:vAlign w:val="center"/>
          </w:tcPr>
          <w:p>
            <w:pPr>
              <w:spacing w:line="300" w:lineRule="exact"/>
              <w:jc w:val="left"/>
              <w:rPr>
                <w:rFonts w:ascii="Times New Roman" w:hAnsi="Times New Roman" w:eastAsia="宋体" w:cs="Times New Roman"/>
                <w:kern w:val="0"/>
                <w:sz w:val="20"/>
              </w:rPr>
            </w:pPr>
            <w:r>
              <w:rPr>
                <w:rFonts w:ascii="Times New Roman" w:hAnsi="Times New Roman" w:eastAsia="宋体" w:cs="Times New Roman"/>
                <w:kern w:val="0"/>
                <w:sz w:val="20"/>
                <w:szCs w:val="21"/>
              </w:rPr>
              <w:t>职业技术教育学</w:t>
            </w:r>
          </w:p>
        </w:tc>
        <w:tc>
          <w:tcPr>
            <w:tcW w:w="1984"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2835"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根据学校 “学科知识与能力”科目确定任教学段和任教学科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特殊教育学</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w:t>
            </w: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教育技术学</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r>
              <w:rPr>
                <w:rFonts w:hint="eastAsia" w:ascii="Times New Roman" w:hAnsi="Times New Roman" w:eastAsia="宋体" w:cs="Times New Roman"/>
                <w:kern w:val="0"/>
                <w:sz w:val="20"/>
                <w:szCs w:val="21"/>
              </w:rPr>
              <w:t>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信息技术/通用技术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教育学原理</w:t>
            </w:r>
          </w:p>
        </w:tc>
        <w:tc>
          <w:tcPr>
            <w:tcW w:w="1984" w:type="dxa"/>
            <w:vMerge w:val="restart"/>
            <w:vAlign w:val="center"/>
          </w:tcPr>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Merge w:val="restart"/>
            <w:vAlign w:val="center"/>
          </w:tcPr>
          <w:p>
            <w:pPr>
              <w:spacing w:line="36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spacing w:line="36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2835" w:type="dxa"/>
            <w:vMerge w:val="restart"/>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参加国家中小学教师资格考试笔试科目三“学科知识与教学能力”，国家中小学教师资格考试中未统一开考的科目，由学校在师范生教师职业能力测试中统一命题组织实施。根据“学科知识与能力”科目确定</w:t>
            </w:r>
            <w:r>
              <w:rPr>
                <w:rFonts w:ascii="Times New Roman" w:hAnsi="Times New Roman" w:eastAsia="宋体" w:cs="Times New Roman"/>
                <w:kern w:val="0"/>
                <w:sz w:val="20"/>
                <w:szCs w:val="21"/>
              </w:rPr>
              <w:t>任教学段和任教</w:t>
            </w:r>
            <w:r>
              <w:rPr>
                <w:rFonts w:hint="eastAsia" w:ascii="Times New Roman" w:hAnsi="Times New Roman" w:eastAsia="宋体" w:cs="Times New Roman"/>
                <w:kern w:val="0"/>
                <w:sz w:val="20"/>
                <w:szCs w:val="21"/>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课程与教学论</w:t>
            </w:r>
          </w:p>
        </w:tc>
        <w:tc>
          <w:tcPr>
            <w:tcW w:w="1984" w:type="dxa"/>
            <w:vMerge w:val="continue"/>
            <w:vAlign w:val="center"/>
          </w:tcPr>
          <w:p>
            <w:pPr>
              <w:spacing w:line="360" w:lineRule="exact"/>
              <w:rPr>
                <w:rFonts w:ascii="Times New Roman" w:hAnsi="Times New Roman" w:eastAsia="宋体" w:cs="Times New Roman"/>
                <w:kern w:val="0"/>
                <w:sz w:val="20"/>
                <w:szCs w:val="21"/>
              </w:rPr>
            </w:pPr>
          </w:p>
        </w:tc>
        <w:tc>
          <w:tcPr>
            <w:tcW w:w="1984" w:type="dxa"/>
            <w:vMerge w:val="continue"/>
            <w:vAlign w:val="center"/>
          </w:tcPr>
          <w:p>
            <w:pPr>
              <w:spacing w:line="36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比较教育学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高等教育学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成人教育学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教育法学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其他学校自</w:t>
            </w:r>
            <w:r>
              <w:rPr>
                <w:rFonts w:hint="eastAsia" w:ascii="Times New Roman" w:hAnsi="Times New Roman" w:eastAsia="宋体" w:cs="Times New Roman"/>
                <w:kern w:val="0"/>
                <w:sz w:val="20"/>
                <w:szCs w:val="21"/>
              </w:rPr>
              <w:t>主</w:t>
            </w:r>
            <w:r>
              <w:rPr>
                <w:rFonts w:ascii="Times New Roman" w:hAnsi="Times New Roman" w:eastAsia="宋体" w:cs="Times New Roman"/>
                <w:kern w:val="0"/>
                <w:sz w:val="20"/>
                <w:szCs w:val="21"/>
              </w:rPr>
              <w:t>设置的二级学科</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vAlign w:val="center"/>
          </w:tcPr>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专</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业</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位</w:t>
            </w:r>
          </w:p>
        </w:tc>
        <w:tc>
          <w:tcPr>
            <w:tcW w:w="1984" w:type="dxa"/>
            <w:vMerge w:val="restart"/>
            <w:vAlign w:val="center"/>
          </w:tcPr>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0451教育</w:t>
            </w: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学科教学（思政）</w:t>
            </w:r>
          </w:p>
        </w:tc>
        <w:tc>
          <w:tcPr>
            <w:tcW w:w="1984" w:type="dxa"/>
            <w:vMerge w:val="restart"/>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Merge w:val="restart"/>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2835"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道德与法治</w:t>
            </w:r>
            <w:r>
              <w:rPr>
                <w:rFonts w:ascii="Times New Roman" w:hAnsi="Times New Roman" w:eastAsia="宋体" w:cs="Times New Roman"/>
                <w:kern w:val="0"/>
                <w:sz w:val="20"/>
                <w:szCs w:val="21"/>
              </w:rPr>
              <w:t>/思想政治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学科教学（语文）</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学科教学（数学）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学科教学（物理）</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学科教学（化学）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学科教学（生物）</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学科教学（英语）</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学科教学（历史）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社会/历史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学科教学（地理）</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学科教学（音乐）</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学科教学（体育）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体育/体育与健康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学科教学（美术）</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现代教育技术</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信息技术/通用技术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心理健康教育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科学与技术教育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科学/信息技术/通用技术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特殊教育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职业技术教育</w:t>
            </w:r>
          </w:p>
        </w:tc>
        <w:tc>
          <w:tcPr>
            <w:tcW w:w="1984"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2835"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根据学校“学科知识与能力”科目确定</w:t>
            </w:r>
            <w:r>
              <w:rPr>
                <w:rFonts w:ascii="Times New Roman" w:hAnsi="Times New Roman" w:eastAsia="宋体" w:cs="Times New Roman"/>
                <w:kern w:val="0"/>
                <w:sz w:val="20"/>
                <w:szCs w:val="21"/>
              </w:rPr>
              <w:t>任教学段和任教</w:t>
            </w:r>
            <w:r>
              <w:rPr>
                <w:rFonts w:hint="eastAsia" w:ascii="Times New Roman" w:hAnsi="Times New Roman" w:eastAsia="宋体" w:cs="Times New Roman"/>
                <w:kern w:val="0"/>
                <w:sz w:val="20"/>
                <w:szCs w:val="21"/>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汉语国际教育</w:t>
            </w:r>
          </w:p>
        </w:tc>
        <w:tc>
          <w:tcPr>
            <w:tcW w:w="1984"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初级中学</w:t>
            </w:r>
          </w:p>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教育管理</w:t>
            </w:r>
          </w:p>
        </w:tc>
        <w:tc>
          <w:tcPr>
            <w:tcW w:w="1984" w:type="dxa"/>
            <w:vMerge w:val="restart"/>
            <w:vAlign w:val="center"/>
          </w:tcPr>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Merge w:val="restart"/>
            <w:vAlign w:val="center"/>
          </w:tcPr>
          <w:p>
            <w:pPr>
              <w:spacing w:line="36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spacing w:line="36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2835" w:type="dxa"/>
            <w:vMerge w:val="restart"/>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参加国家中小学教师资格考试笔试科目三“学科知识与教学能力”，国家中小学教师资格考试中未统一开考的科目，由学校在师范生教师职业能力测试中统一命题组织实施。根据“学科知识与能力”科目确定</w:t>
            </w:r>
            <w:r>
              <w:rPr>
                <w:rFonts w:ascii="Times New Roman" w:hAnsi="Times New Roman" w:eastAsia="宋体" w:cs="Times New Roman"/>
                <w:kern w:val="0"/>
                <w:sz w:val="20"/>
                <w:szCs w:val="21"/>
              </w:rPr>
              <w:t>任教学段和任教</w:t>
            </w:r>
            <w:r>
              <w:rPr>
                <w:rFonts w:hint="eastAsia" w:ascii="Times New Roman" w:hAnsi="Times New Roman" w:eastAsia="宋体" w:cs="Times New Roman"/>
                <w:kern w:val="0"/>
                <w:sz w:val="20"/>
                <w:szCs w:val="21"/>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学校课程与教学</w:t>
            </w:r>
          </w:p>
        </w:tc>
        <w:tc>
          <w:tcPr>
            <w:tcW w:w="1984" w:type="dxa"/>
            <w:vMerge w:val="continue"/>
            <w:vAlign w:val="center"/>
          </w:tcPr>
          <w:p>
            <w:pPr>
              <w:spacing w:line="360" w:lineRule="exact"/>
              <w:rPr>
                <w:rFonts w:ascii="Times New Roman" w:hAnsi="Times New Roman" w:eastAsia="宋体" w:cs="Times New Roman"/>
                <w:kern w:val="0"/>
                <w:sz w:val="20"/>
                <w:szCs w:val="21"/>
              </w:rPr>
            </w:pPr>
          </w:p>
        </w:tc>
        <w:tc>
          <w:tcPr>
            <w:tcW w:w="1984" w:type="dxa"/>
            <w:vMerge w:val="continue"/>
            <w:vAlign w:val="center"/>
          </w:tcPr>
          <w:p>
            <w:pPr>
              <w:spacing w:line="36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学生发展与教育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教育领导与管理</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Align w:val="center"/>
          </w:tcPr>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0453汉语国际教育</w:t>
            </w:r>
          </w:p>
        </w:tc>
        <w:tc>
          <w:tcPr>
            <w:tcW w:w="3019" w:type="dxa"/>
            <w:vAlign w:val="center"/>
          </w:tcPr>
          <w:p>
            <w:pPr>
              <w:spacing w:line="300" w:lineRule="exact"/>
              <w:jc w:val="left"/>
              <w:rPr>
                <w:rFonts w:ascii="Times New Roman" w:hAnsi="Times New Roman" w:eastAsia="宋体" w:cs="Times New Roman"/>
                <w:kern w:val="0"/>
                <w:sz w:val="20"/>
                <w:szCs w:val="21"/>
              </w:rPr>
            </w:pPr>
          </w:p>
        </w:tc>
        <w:tc>
          <w:tcPr>
            <w:tcW w:w="1984" w:type="dxa"/>
            <w:vAlign w:val="center"/>
          </w:tcPr>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语文</w:t>
            </w:r>
          </w:p>
        </w:tc>
      </w:tr>
    </w:tbl>
    <w:p>
      <w:pPr>
        <w:widowControl/>
        <w:ind w:firstLine="536" w:firstLineChars="200"/>
        <w:jc w:val="left"/>
        <w:rPr>
          <w:rFonts w:ascii="Times New Roman" w:hAnsi="Times New Roman" w:eastAsia="黑体" w:cs="Times New Roman"/>
          <w:spacing w:val="-6"/>
          <w:sz w:val="28"/>
          <w:szCs w:val="28"/>
        </w:rPr>
      </w:pPr>
      <w:bookmarkStart w:id="0" w:name="_Hlk50017197"/>
      <w:r>
        <w:rPr>
          <w:rFonts w:hint="eastAsia" w:ascii="Times New Roman" w:hAnsi="Times New Roman" w:eastAsia="黑体" w:cs="Times New Roman"/>
          <w:spacing w:val="-6"/>
          <w:sz w:val="28"/>
          <w:szCs w:val="28"/>
        </w:rPr>
        <w:t>注：以初级中学教师、高级中学教师、中等职业学校教师为培养目标的公费师范生任教学段和任教学科参照执行。</w:t>
      </w:r>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0F"/>
    <w:rsid w:val="0026010F"/>
    <w:rsid w:val="009E5201"/>
    <w:rsid w:val="0EA20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网格型1"/>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Words>
  <Characters>1087</Characters>
  <Lines>9</Lines>
  <Paragraphs>2</Paragraphs>
  <TotalTime>0</TotalTime>
  <ScaleCrop>false</ScaleCrop>
  <LinksUpToDate>false</LinksUpToDate>
  <CharactersWithSpaces>1275</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2020-09-07T10:24:00Z</dcterms:created>
  <dc:creator>贝</dc:creator>
  <cp:lastModifiedBy>goveditor</cp:lastModifiedBy>
  <dcterms:modified xsi:type="dcterms:W3CDTF">2020-09-08T02:39:09Z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